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7D8" w:rsidRPr="00460283" w:rsidRDefault="00D05056">
      <w:pPr>
        <w:rPr>
          <w:sz w:val="28"/>
          <w:szCs w:val="28"/>
        </w:rPr>
      </w:pPr>
      <w:r w:rsidRPr="00460283">
        <w:rPr>
          <w:sz w:val="28"/>
          <w:szCs w:val="28"/>
        </w:rPr>
        <w:t>F</w:t>
      </w:r>
      <w:r w:rsidR="005E349E">
        <w:rPr>
          <w:sz w:val="28"/>
          <w:szCs w:val="28"/>
        </w:rPr>
        <w:t xml:space="preserve">or in-depth critical reading:  </w:t>
      </w:r>
      <w:r w:rsidR="0017240A" w:rsidRPr="00460283">
        <w:rPr>
          <w:sz w:val="28"/>
          <w:szCs w:val="28"/>
        </w:rPr>
        <w:t>Annotating= note-taking &amp; note-making</w:t>
      </w:r>
    </w:p>
    <w:p w:rsidR="0017240A" w:rsidRPr="00460283" w:rsidRDefault="005E349E">
      <w:pPr>
        <w:rPr>
          <w:sz w:val="28"/>
          <w:szCs w:val="28"/>
        </w:rPr>
      </w:pPr>
      <w:r>
        <w:rPr>
          <w:sz w:val="28"/>
          <w:szCs w:val="28"/>
        </w:rPr>
        <w:t xml:space="preserve">SAMPLE: </w:t>
      </w:r>
      <w:r w:rsidR="00460283" w:rsidRPr="005E349E">
        <w:rPr>
          <w:sz w:val="32"/>
          <w:szCs w:val="32"/>
          <w:u w:val="single"/>
        </w:rPr>
        <w:t>Double entry/</w:t>
      </w:r>
      <w:r w:rsidR="00AF756A" w:rsidRPr="005E349E">
        <w:rPr>
          <w:sz w:val="32"/>
          <w:szCs w:val="32"/>
          <w:u w:val="single"/>
        </w:rPr>
        <w:t>Synthesis Table</w:t>
      </w:r>
    </w:p>
    <w:tbl>
      <w:tblPr>
        <w:tblStyle w:val="TableGrid"/>
        <w:tblW w:w="0" w:type="auto"/>
        <w:tblLayout w:type="fixed"/>
        <w:tblLook w:val="04A0" w:firstRow="1" w:lastRow="0" w:firstColumn="1" w:lastColumn="0" w:noHBand="0" w:noVBand="1"/>
      </w:tblPr>
      <w:tblGrid>
        <w:gridCol w:w="828"/>
        <w:gridCol w:w="5556"/>
        <w:gridCol w:w="3192"/>
      </w:tblGrid>
      <w:tr w:rsidR="0017240A" w:rsidTr="005E349E">
        <w:tc>
          <w:tcPr>
            <w:tcW w:w="828" w:type="dxa"/>
          </w:tcPr>
          <w:p w:rsidR="0017240A" w:rsidRDefault="005E349E">
            <w:r>
              <w:t>Au</w:t>
            </w:r>
            <w:r w:rsidR="007F4F90">
              <w:t>,p.#line#</w:t>
            </w:r>
          </w:p>
        </w:tc>
        <w:tc>
          <w:tcPr>
            <w:tcW w:w="5556" w:type="dxa"/>
          </w:tcPr>
          <w:p w:rsidR="0017240A" w:rsidRPr="00BB7119" w:rsidRDefault="0017240A">
            <w:pPr>
              <w:rPr>
                <w:rFonts w:ascii="Arial Narrow" w:hAnsi="Arial Narrow"/>
                <w:sz w:val="28"/>
                <w:szCs w:val="28"/>
              </w:rPr>
            </w:pPr>
            <w:r w:rsidRPr="00BB7119">
              <w:rPr>
                <w:rFonts w:ascii="Arial Narrow" w:hAnsi="Arial Narrow"/>
                <w:sz w:val="28"/>
                <w:szCs w:val="28"/>
              </w:rPr>
              <w:t xml:space="preserve">Scientific arguments </w:t>
            </w:r>
            <w:r w:rsidRPr="00BB7119">
              <w:rPr>
                <w:rFonts w:ascii="Arial Narrow" w:hAnsi="Arial Narrow"/>
                <w:b/>
                <w:sz w:val="28"/>
                <w:szCs w:val="28"/>
              </w:rPr>
              <w:t xml:space="preserve">against </w:t>
            </w:r>
            <w:r w:rsidRPr="00BB7119">
              <w:rPr>
                <w:rFonts w:ascii="Arial Narrow" w:hAnsi="Arial Narrow"/>
                <w:sz w:val="28"/>
                <w:szCs w:val="28"/>
              </w:rPr>
              <w:t>Brains in court</w:t>
            </w:r>
          </w:p>
        </w:tc>
        <w:tc>
          <w:tcPr>
            <w:tcW w:w="3192" w:type="dxa"/>
          </w:tcPr>
          <w:p w:rsidR="0017240A" w:rsidRDefault="00460283">
            <w:r>
              <w:t>My note-making</w:t>
            </w:r>
          </w:p>
        </w:tc>
      </w:tr>
      <w:tr w:rsidR="0017240A" w:rsidTr="005E349E">
        <w:tc>
          <w:tcPr>
            <w:tcW w:w="828" w:type="dxa"/>
          </w:tcPr>
          <w:p w:rsidR="0017240A" w:rsidRDefault="006C73CD">
            <w:r>
              <w:t>9:38-40</w:t>
            </w:r>
          </w:p>
        </w:tc>
        <w:tc>
          <w:tcPr>
            <w:tcW w:w="5556" w:type="dxa"/>
          </w:tcPr>
          <w:p w:rsidR="0017240A" w:rsidRDefault="006C73CD">
            <w:r>
              <w:t>“</w:t>
            </w:r>
            <w:r w:rsidRPr="006C73CD">
              <w:t>Members of another camp argue that brain science doesn’t belong in court because there’s no evidence linking specific characteristics of teens’ brains to any legally relevant condition, such as impaired moral judgment or an inability to control murderous impulses.</w:t>
            </w:r>
            <w:r>
              <w:t>”</w:t>
            </w:r>
          </w:p>
        </w:tc>
        <w:tc>
          <w:tcPr>
            <w:tcW w:w="3192" w:type="dxa"/>
          </w:tcPr>
          <w:p w:rsidR="0017240A" w:rsidRDefault="0017240A"/>
        </w:tc>
      </w:tr>
      <w:tr w:rsidR="0017240A" w:rsidTr="005E349E">
        <w:tc>
          <w:tcPr>
            <w:tcW w:w="828" w:type="dxa"/>
          </w:tcPr>
          <w:p w:rsidR="0017240A" w:rsidRDefault="006C73CD">
            <w:r>
              <w:t>11:17-21</w:t>
            </w:r>
          </w:p>
        </w:tc>
        <w:tc>
          <w:tcPr>
            <w:tcW w:w="5556" w:type="dxa"/>
          </w:tcPr>
          <w:p w:rsidR="0017240A" w:rsidRDefault="006C73CD">
            <w:r>
              <w:t>“</w:t>
            </w:r>
            <w:r w:rsidRPr="006C73CD">
              <w:t>The results in these small experiments remain preliminary. Even if the findings hold up, it’s not clear whether young teens’ difficulties in discerning fearful expressions stem from incomplete brain development or reflect unique duties assumed by the frontal lobes during adolescence. What’s more, teenagers and adults have yet to be similarly tested with faces displaying emotions other than fear.</w:t>
            </w:r>
            <w:r>
              <w:t>”</w:t>
            </w:r>
          </w:p>
        </w:tc>
        <w:tc>
          <w:tcPr>
            <w:tcW w:w="3192" w:type="dxa"/>
          </w:tcPr>
          <w:p w:rsidR="0017240A" w:rsidRDefault="0017240A"/>
        </w:tc>
      </w:tr>
      <w:tr w:rsidR="0017240A" w:rsidTr="005E349E">
        <w:tc>
          <w:tcPr>
            <w:tcW w:w="828" w:type="dxa"/>
          </w:tcPr>
          <w:p w:rsidR="0017240A" w:rsidRDefault="006C73CD">
            <w:r>
              <w:t>12:29-30</w:t>
            </w:r>
          </w:p>
        </w:tc>
        <w:tc>
          <w:tcPr>
            <w:tcW w:w="5556" w:type="dxa"/>
          </w:tcPr>
          <w:p w:rsidR="0017240A" w:rsidRDefault="006C73CD">
            <w:r>
              <w:t>“</w:t>
            </w:r>
            <w:r w:rsidRPr="006C73CD">
              <w:t>but no current research connects specific brain traits of typical teenagers to any mental or behavioral problems</w:t>
            </w:r>
            <w:r>
              <w:t>”</w:t>
            </w:r>
          </w:p>
        </w:tc>
        <w:tc>
          <w:tcPr>
            <w:tcW w:w="3192" w:type="dxa"/>
          </w:tcPr>
          <w:p w:rsidR="0017240A" w:rsidRDefault="0017240A"/>
        </w:tc>
      </w:tr>
    </w:tbl>
    <w:p w:rsidR="00460283" w:rsidRDefault="00460283"/>
    <w:tbl>
      <w:tblPr>
        <w:tblStyle w:val="TableGrid"/>
        <w:tblW w:w="0" w:type="auto"/>
        <w:tblLook w:val="04A0" w:firstRow="1" w:lastRow="0" w:firstColumn="1" w:lastColumn="0" w:noHBand="0" w:noVBand="1"/>
      </w:tblPr>
      <w:tblGrid>
        <w:gridCol w:w="1818"/>
        <w:gridCol w:w="4566"/>
        <w:gridCol w:w="3192"/>
      </w:tblGrid>
      <w:tr w:rsidR="00D05056" w:rsidTr="00460283">
        <w:tc>
          <w:tcPr>
            <w:tcW w:w="1818" w:type="dxa"/>
          </w:tcPr>
          <w:p w:rsidR="00D05056" w:rsidRDefault="00460283">
            <w:r>
              <w:t>Authors/citations</w:t>
            </w:r>
          </w:p>
        </w:tc>
        <w:tc>
          <w:tcPr>
            <w:tcW w:w="4566" w:type="dxa"/>
          </w:tcPr>
          <w:p w:rsidR="00D05056" w:rsidRPr="00BB7119" w:rsidRDefault="0055357B">
            <w:pPr>
              <w:rPr>
                <w:rFonts w:ascii="Arial Narrow" w:hAnsi="Arial Narrow"/>
                <w:sz w:val="28"/>
                <w:szCs w:val="28"/>
              </w:rPr>
            </w:pPr>
            <w:r w:rsidRPr="00BB7119">
              <w:rPr>
                <w:rFonts w:ascii="Arial Narrow" w:hAnsi="Arial Narrow"/>
                <w:sz w:val="28"/>
                <w:szCs w:val="28"/>
              </w:rPr>
              <w:t>Scientific arguments</w:t>
            </w:r>
            <w:r w:rsidR="00460283" w:rsidRPr="00BB7119">
              <w:rPr>
                <w:rFonts w:ascii="Arial Narrow" w:hAnsi="Arial Narrow"/>
                <w:sz w:val="28"/>
                <w:szCs w:val="28"/>
              </w:rPr>
              <w:t xml:space="preserve"> </w:t>
            </w:r>
            <w:r w:rsidR="00460283" w:rsidRPr="00BB7119">
              <w:rPr>
                <w:rFonts w:ascii="Arial Narrow" w:hAnsi="Arial Narrow"/>
                <w:b/>
                <w:sz w:val="28"/>
                <w:szCs w:val="28"/>
              </w:rPr>
              <w:t>for</w:t>
            </w:r>
            <w:r w:rsidR="00460283" w:rsidRPr="00BB7119">
              <w:rPr>
                <w:rFonts w:ascii="Arial Narrow" w:hAnsi="Arial Narrow"/>
                <w:sz w:val="28"/>
                <w:szCs w:val="28"/>
              </w:rPr>
              <w:t xml:space="preserve"> using brain studies</w:t>
            </w:r>
          </w:p>
        </w:tc>
        <w:tc>
          <w:tcPr>
            <w:tcW w:w="3192" w:type="dxa"/>
          </w:tcPr>
          <w:p w:rsidR="00D05056" w:rsidRDefault="00460283">
            <w:r>
              <w:t>My note-making</w:t>
            </w:r>
          </w:p>
        </w:tc>
      </w:tr>
      <w:tr w:rsidR="00D05056" w:rsidTr="00460283">
        <w:tc>
          <w:tcPr>
            <w:tcW w:w="1818" w:type="dxa"/>
          </w:tcPr>
          <w:p w:rsidR="00D05056" w:rsidRDefault="006C73CD">
            <w:r>
              <w:t>10:14-18</w:t>
            </w:r>
          </w:p>
        </w:tc>
        <w:tc>
          <w:tcPr>
            <w:tcW w:w="4566" w:type="dxa"/>
          </w:tcPr>
          <w:p w:rsidR="006C73CD" w:rsidRDefault="00460283" w:rsidP="006C73CD">
            <w:r>
              <w:t>“</w:t>
            </w:r>
            <w:r w:rsidR="006C73CD">
              <w:t>Scientifi</w:t>
            </w:r>
            <w:r>
              <w:t>c arguments for brains in court</w:t>
            </w:r>
            <w:r w:rsidR="005E349E">
              <w:t xml:space="preserve">. </w:t>
            </w:r>
            <w:r w:rsidR="006C73CD">
              <w:t>One way that scientists have learned about frontal lobe activity is by identifying associations between certain behaviors and increased frontal activity in healthy people. That work elaborated on previous studies of behavior changes in individuals who had suffered frontal-brain damage. Together, the findings implicate this neural region in regulating aggression, long-range planning, mental flexibility, abstract thinking, the capacity to hold in mind related pieces of information, and perhaps moral judgment.</w:t>
            </w:r>
            <w:r w:rsidR="005E349E">
              <w:t>”</w:t>
            </w:r>
          </w:p>
          <w:p w:rsidR="00D05056" w:rsidRDefault="00D05056"/>
        </w:tc>
        <w:tc>
          <w:tcPr>
            <w:tcW w:w="3192" w:type="dxa"/>
          </w:tcPr>
          <w:p w:rsidR="00D05056" w:rsidRDefault="00D05056"/>
        </w:tc>
      </w:tr>
      <w:tr w:rsidR="00D05056" w:rsidTr="00460283">
        <w:tc>
          <w:tcPr>
            <w:tcW w:w="1818" w:type="dxa"/>
          </w:tcPr>
          <w:p w:rsidR="00D05056" w:rsidRDefault="00460283">
            <w:r>
              <w:t>5:20-23</w:t>
            </w:r>
          </w:p>
        </w:tc>
        <w:tc>
          <w:tcPr>
            <w:tcW w:w="4566" w:type="dxa"/>
          </w:tcPr>
          <w:p w:rsidR="00D05056" w:rsidRDefault="005E349E">
            <w:r>
              <w:t>“…</w:t>
            </w:r>
            <w:r w:rsidR="00460283" w:rsidRPr="00460283">
              <w:t xml:space="preserve">during adolescence the “part of the brain that is helping organization, planning and strategizing is not done being built yet…. It’s sort of unfair to expect [adolescents] to have adult levels of organizational skills or decision making before their </w:t>
            </w:r>
            <w:r>
              <w:t>brain is finished being built.”</w:t>
            </w:r>
          </w:p>
          <w:p w:rsidR="005E349E" w:rsidRDefault="005E349E"/>
          <w:p w:rsidR="005E349E" w:rsidRDefault="005E349E"/>
        </w:tc>
        <w:tc>
          <w:tcPr>
            <w:tcW w:w="3192" w:type="dxa"/>
          </w:tcPr>
          <w:p w:rsidR="00D05056" w:rsidRDefault="00D05056"/>
        </w:tc>
      </w:tr>
    </w:tbl>
    <w:p w:rsidR="00D05056" w:rsidRDefault="00D05056"/>
    <w:p w:rsidR="00460283" w:rsidRDefault="00460283"/>
    <w:tbl>
      <w:tblPr>
        <w:tblStyle w:val="TableGrid"/>
        <w:tblW w:w="0" w:type="auto"/>
        <w:tblLook w:val="04A0" w:firstRow="1" w:lastRow="0" w:firstColumn="1" w:lastColumn="0" w:noHBand="0" w:noVBand="1"/>
      </w:tblPr>
      <w:tblGrid>
        <w:gridCol w:w="4788"/>
        <w:gridCol w:w="4788"/>
      </w:tblGrid>
      <w:tr w:rsidR="005E349E" w:rsidRPr="00AF756A" w:rsidTr="007E6159">
        <w:tc>
          <w:tcPr>
            <w:tcW w:w="9576" w:type="dxa"/>
            <w:gridSpan w:val="2"/>
          </w:tcPr>
          <w:p w:rsidR="005E349E" w:rsidRPr="00AF756A" w:rsidRDefault="005E349E" w:rsidP="00C4413D">
            <w:pPr>
              <w:rPr>
                <w:sz w:val="28"/>
                <w:szCs w:val="28"/>
              </w:rPr>
            </w:pPr>
            <w:r>
              <w:rPr>
                <w:sz w:val="28"/>
                <w:szCs w:val="28"/>
              </w:rPr>
              <w:t xml:space="preserve">“Common Denominators” &amp; “Echoes” </w:t>
            </w:r>
            <w:r w:rsidR="00BB7119">
              <w:rPr>
                <w:sz w:val="28"/>
                <w:szCs w:val="28"/>
              </w:rPr>
              <w:t>:  accountability but appropriate punishment</w:t>
            </w:r>
          </w:p>
        </w:tc>
      </w:tr>
      <w:tr w:rsidR="00460283" w:rsidRPr="00AF756A" w:rsidTr="00C4413D">
        <w:tc>
          <w:tcPr>
            <w:tcW w:w="4788" w:type="dxa"/>
          </w:tcPr>
          <w:p w:rsidR="00460283" w:rsidRDefault="00460283" w:rsidP="00C4413D">
            <w:pPr>
              <w:rPr>
                <w:sz w:val="28"/>
                <w:szCs w:val="28"/>
              </w:rPr>
            </w:pPr>
            <w:r w:rsidRPr="00AF756A">
              <w:rPr>
                <w:sz w:val="28"/>
                <w:szCs w:val="28"/>
              </w:rPr>
              <w:t>Author (note taking</w:t>
            </w:r>
            <w:r>
              <w:rPr>
                <w:sz w:val="28"/>
                <w:szCs w:val="28"/>
              </w:rPr>
              <w:t>)</w:t>
            </w:r>
            <w:r w:rsidR="00BB7119">
              <w:rPr>
                <w:sz w:val="28"/>
                <w:szCs w:val="28"/>
              </w:rPr>
              <w:t xml:space="preserve"> </w:t>
            </w:r>
          </w:p>
          <w:p w:rsidR="00BB7119" w:rsidRPr="00AF756A" w:rsidRDefault="00BB7119" w:rsidP="00C4413D">
            <w:pPr>
              <w:rPr>
                <w:sz w:val="28"/>
                <w:szCs w:val="28"/>
              </w:rPr>
            </w:pPr>
          </w:p>
        </w:tc>
        <w:tc>
          <w:tcPr>
            <w:tcW w:w="4788" w:type="dxa"/>
          </w:tcPr>
          <w:p w:rsidR="00460283" w:rsidRPr="00AF756A" w:rsidRDefault="00460283" w:rsidP="00C4413D">
            <w:pPr>
              <w:rPr>
                <w:sz w:val="28"/>
                <w:szCs w:val="28"/>
              </w:rPr>
            </w:pPr>
            <w:r w:rsidRPr="00AF756A">
              <w:rPr>
                <w:sz w:val="28"/>
                <w:szCs w:val="28"/>
              </w:rPr>
              <w:t>Me (note making)</w:t>
            </w:r>
          </w:p>
        </w:tc>
      </w:tr>
      <w:tr w:rsidR="00460283" w:rsidRPr="00AF756A" w:rsidTr="00C4413D">
        <w:tc>
          <w:tcPr>
            <w:tcW w:w="4788" w:type="dxa"/>
          </w:tcPr>
          <w:p w:rsidR="00460283" w:rsidRPr="005E349E" w:rsidRDefault="005E349E" w:rsidP="005E349E">
            <w:pPr>
              <w:rPr>
                <w:rFonts w:ascii="Arial Narrow" w:hAnsi="Arial Narrow"/>
                <w:sz w:val="28"/>
                <w:szCs w:val="28"/>
              </w:rPr>
            </w:pPr>
            <w:r w:rsidRPr="005E349E">
              <w:rPr>
                <w:rFonts w:ascii="Arial Narrow" w:hAnsi="Arial Narrow"/>
                <w:sz w:val="28"/>
                <w:szCs w:val="28"/>
              </w:rPr>
              <w:t>7:33-36  “This fresh understanding of adolescence does not excuse juvenile offenders from punishment for violent crime, but it clearly lessens their culpability. This concept is not new; it is why we refer to those under 18 as “minors” and “juveniles”— because, in so many respects, they are less than adult.”</w:t>
            </w:r>
          </w:p>
        </w:tc>
        <w:tc>
          <w:tcPr>
            <w:tcW w:w="4788" w:type="dxa"/>
          </w:tcPr>
          <w:p w:rsidR="00460283" w:rsidRPr="00D05056" w:rsidRDefault="00460283" w:rsidP="00C4413D">
            <w:pPr>
              <w:rPr>
                <w:b/>
                <w:sz w:val="28"/>
                <w:szCs w:val="28"/>
              </w:rPr>
            </w:pPr>
          </w:p>
        </w:tc>
      </w:tr>
      <w:tr w:rsidR="00460283" w:rsidRPr="00AF756A" w:rsidTr="00C4413D">
        <w:tc>
          <w:tcPr>
            <w:tcW w:w="4788" w:type="dxa"/>
          </w:tcPr>
          <w:p w:rsidR="00460283" w:rsidRPr="005E349E" w:rsidRDefault="005E349E" w:rsidP="00C4413D">
            <w:pPr>
              <w:rPr>
                <w:rFonts w:ascii="Arial Narrow" w:hAnsi="Arial Narrow"/>
                <w:sz w:val="28"/>
                <w:szCs w:val="28"/>
              </w:rPr>
            </w:pPr>
            <w:r w:rsidRPr="005E349E">
              <w:rPr>
                <w:rFonts w:ascii="Arial Narrow" w:hAnsi="Arial Narrow"/>
                <w:sz w:val="28"/>
                <w:szCs w:val="28"/>
              </w:rPr>
              <w:t>9:35-37</w:t>
            </w:r>
            <w:r w:rsidR="00BB7119">
              <w:rPr>
                <w:rFonts w:ascii="Arial Narrow" w:hAnsi="Arial Narrow"/>
                <w:sz w:val="28"/>
                <w:szCs w:val="28"/>
              </w:rPr>
              <w:t xml:space="preserve"> </w:t>
            </w:r>
            <w:r w:rsidRPr="005E349E">
              <w:rPr>
                <w:rFonts w:ascii="Arial Narrow" w:hAnsi="Arial Narrow"/>
                <w:sz w:val="28"/>
                <w:szCs w:val="28"/>
              </w:rPr>
              <w:t xml:space="preserve"> “Don’t excuse criminal behavior, these scientists say, but acknowledge that adolescents who kill don’t deserve the ultimate punishment.”</w:t>
            </w:r>
          </w:p>
        </w:tc>
        <w:tc>
          <w:tcPr>
            <w:tcW w:w="4788" w:type="dxa"/>
          </w:tcPr>
          <w:p w:rsidR="00460283" w:rsidRPr="00D05056" w:rsidRDefault="00460283" w:rsidP="00C4413D">
            <w:pPr>
              <w:rPr>
                <w:b/>
                <w:sz w:val="28"/>
                <w:szCs w:val="28"/>
              </w:rPr>
            </w:pPr>
          </w:p>
        </w:tc>
      </w:tr>
      <w:tr w:rsidR="00460283" w:rsidRPr="00AF756A" w:rsidTr="00C4413D">
        <w:tc>
          <w:tcPr>
            <w:tcW w:w="4788" w:type="dxa"/>
          </w:tcPr>
          <w:p w:rsidR="00460283" w:rsidRPr="00BB7119" w:rsidRDefault="00BB7119" w:rsidP="00BB7119">
            <w:pPr>
              <w:rPr>
                <w:sz w:val="28"/>
                <w:szCs w:val="28"/>
              </w:rPr>
            </w:pPr>
            <w:r w:rsidRPr="00BB7119">
              <w:rPr>
                <w:sz w:val="28"/>
                <w:szCs w:val="28"/>
              </w:rPr>
              <w:t xml:space="preserve">16:46-17:10 </w:t>
            </w:r>
            <w:r>
              <w:rPr>
                <w:sz w:val="28"/>
                <w:szCs w:val="28"/>
              </w:rPr>
              <w:t xml:space="preserve">  “ </w:t>
            </w:r>
            <w:r w:rsidRPr="00BB7119">
              <w:rPr>
                <w:sz w:val="28"/>
                <w:szCs w:val="28"/>
              </w:rPr>
              <w:t>‘We’re not saying open the prison doors. We’re saying, “Why not take a second look?’</w:t>
            </w:r>
            <w:r>
              <w:rPr>
                <w:sz w:val="28"/>
                <w:szCs w:val="28"/>
              </w:rPr>
              <w:t xml:space="preserve"> </w:t>
            </w:r>
            <w:bookmarkStart w:id="0" w:name="_GoBack"/>
            <w:bookmarkEnd w:id="0"/>
            <w:r>
              <w:rPr>
                <w:sz w:val="28"/>
                <w:szCs w:val="28"/>
              </w:rPr>
              <w:t>”</w:t>
            </w:r>
          </w:p>
        </w:tc>
        <w:tc>
          <w:tcPr>
            <w:tcW w:w="4788" w:type="dxa"/>
          </w:tcPr>
          <w:p w:rsidR="00460283" w:rsidRPr="00D05056" w:rsidRDefault="00460283" w:rsidP="00C4413D">
            <w:pPr>
              <w:rPr>
                <w:b/>
                <w:sz w:val="28"/>
                <w:szCs w:val="28"/>
              </w:rPr>
            </w:pPr>
          </w:p>
        </w:tc>
      </w:tr>
      <w:tr w:rsidR="00460283" w:rsidRPr="00AF756A" w:rsidTr="00C4413D">
        <w:tc>
          <w:tcPr>
            <w:tcW w:w="4788" w:type="dxa"/>
          </w:tcPr>
          <w:p w:rsidR="00460283" w:rsidRDefault="00460283" w:rsidP="00C4413D">
            <w:pPr>
              <w:rPr>
                <w:b/>
                <w:sz w:val="28"/>
                <w:szCs w:val="28"/>
              </w:rPr>
            </w:pPr>
          </w:p>
          <w:p w:rsidR="00BB7119" w:rsidRDefault="00BB7119" w:rsidP="00C4413D">
            <w:pPr>
              <w:rPr>
                <w:b/>
                <w:sz w:val="28"/>
                <w:szCs w:val="28"/>
              </w:rPr>
            </w:pPr>
          </w:p>
          <w:p w:rsidR="00BB7119" w:rsidRDefault="00BB7119" w:rsidP="00C4413D">
            <w:pPr>
              <w:rPr>
                <w:b/>
                <w:sz w:val="28"/>
                <w:szCs w:val="28"/>
              </w:rPr>
            </w:pPr>
          </w:p>
          <w:p w:rsidR="00BB7119" w:rsidRDefault="00BB7119" w:rsidP="00C4413D">
            <w:pPr>
              <w:rPr>
                <w:b/>
                <w:sz w:val="28"/>
                <w:szCs w:val="28"/>
              </w:rPr>
            </w:pPr>
          </w:p>
          <w:p w:rsidR="00BB7119" w:rsidRPr="00D05056" w:rsidRDefault="00BB7119" w:rsidP="00C4413D">
            <w:pPr>
              <w:rPr>
                <w:b/>
                <w:sz w:val="28"/>
                <w:szCs w:val="28"/>
              </w:rPr>
            </w:pPr>
          </w:p>
        </w:tc>
        <w:tc>
          <w:tcPr>
            <w:tcW w:w="4788" w:type="dxa"/>
          </w:tcPr>
          <w:p w:rsidR="00460283" w:rsidRPr="00D05056" w:rsidRDefault="00460283" w:rsidP="00C4413D">
            <w:pPr>
              <w:rPr>
                <w:b/>
                <w:sz w:val="28"/>
                <w:szCs w:val="28"/>
              </w:rPr>
            </w:pPr>
          </w:p>
        </w:tc>
      </w:tr>
    </w:tbl>
    <w:p w:rsidR="00460283" w:rsidRDefault="00460283"/>
    <w:sectPr w:rsidR="0046028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FA2" w:rsidRDefault="003A7FA2" w:rsidP="005E349E">
      <w:pPr>
        <w:spacing w:after="0" w:line="240" w:lineRule="auto"/>
      </w:pPr>
      <w:r>
        <w:separator/>
      </w:r>
    </w:p>
  </w:endnote>
  <w:endnote w:type="continuationSeparator" w:id="0">
    <w:p w:rsidR="003A7FA2" w:rsidRDefault="003A7FA2" w:rsidP="005E3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680822"/>
      <w:docPartObj>
        <w:docPartGallery w:val="Page Numbers (Bottom of Page)"/>
        <w:docPartUnique/>
      </w:docPartObj>
    </w:sdtPr>
    <w:sdtEndPr>
      <w:rPr>
        <w:noProof/>
      </w:rPr>
    </w:sdtEndPr>
    <w:sdtContent>
      <w:p w:rsidR="00BB7119" w:rsidRDefault="00BB7119">
        <w:pPr>
          <w:pStyle w:val="Footer"/>
          <w:jc w:val="center"/>
        </w:pPr>
        <w:r>
          <w:fldChar w:fldCharType="begin"/>
        </w:r>
        <w:r>
          <w:instrText xml:space="preserve"> PAGE   \* MERGEFORMAT </w:instrText>
        </w:r>
        <w:r>
          <w:fldChar w:fldCharType="separate"/>
        </w:r>
        <w:r w:rsidR="003A7FA2">
          <w:rPr>
            <w:noProof/>
          </w:rPr>
          <w:t>1</w:t>
        </w:r>
        <w:r>
          <w:rPr>
            <w:noProof/>
          </w:rPr>
          <w:fldChar w:fldCharType="end"/>
        </w:r>
      </w:p>
    </w:sdtContent>
  </w:sdt>
  <w:p w:rsidR="00BB7119" w:rsidRDefault="00BB71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FA2" w:rsidRDefault="003A7FA2" w:rsidP="005E349E">
      <w:pPr>
        <w:spacing w:after="0" w:line="240" w:lineRule="auto"/>
      </w:pPr>
      <w:r>
        <w:separator/>
      </w:r>
    </w:p>
  </w:footnote>
  <w:footnote w:type="continuationSeparator" w:id="0">
    <w:p w:rsidR="003A7FA2" w:rsidRDefault="003A7FA2" w:rsidP="005E34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49E" w:rsidRDefault="005E349E">
    <w:pPr>
      <w:pStyle w:val="Header"/>
    </w:pPr>
    <w:r>
      <w:t>Obrien            TEEN BRAIN:  Annotating—Synthesizing Arguments</w:t>
    </w:r>
  </w:p>
  <w:p w:rsidR="005E349E" w:rsidRDefault="005E34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40A"/>
    <w:rsid w:val="0017240A"/>
    <w:rsid w:val="003A7FA2"/>
    <w:rsid w:val="00460283"/>
    <w:rsid w:val="0055357B"/>
    <w:rsid w:val="005E349E"/>
    <w:rsid w:val="006C1AC9"/>
    <w:rsid w:val="006C73CD"/>
    <w:rsid w:val="00713DDB"/>
    <w:rsid w:val="007F4F90"/>
    <w:rsid w:val="009337D8"/>
    <w:rsid w:val="00AF756A"/>
    <w:rsid w:val="00BB7119"/>
    <w:rsid w:val="00D05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24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E34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49E"/>
  </w:style>
  <w:style w:type="paragraph" w:styleId="Footer">
    <w:name w:val="footer"/>
    <w:basedOn w:val="Normal"/>
    <w:link w:val="FooterChar"/>
    <w:uiPriority w:val="99"/>
    <w:unhideWhenUsed/>
    <w:rsid w:val="005E34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49E"/>
  </w:style>
  <w:style w:type="paragraph" w:styleId="BalloonText">
    <w:name w:val="Balloon Text"/>
    <w:basedOn w:val="Normal"/>
    <w:link w:val="BalloonTextChar"/>
    <w:uiPriority w:val="99"/>
    <w:semiHidden/>
    <w:unhideWhenUsed/>
    <w:rsid w:val="005E34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4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24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E34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49E"/>
  </w:style>
  <w:style w:type="paragraph" w:styleId="Footer">
    <w:name w:val="footer"/>
    <w:basedOn w:val="Normal"/>
    <w:link w:val="FooterChar"/>
    <w:uiPriority w:val="99"/>
    <w:unhideWhenUsed/>
    <w:rsid w:val="005E34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49E"/>
  </w:style>
  <w:style w:type="paragraph" w:styleId="BalloonText">
    <w:name w:val="Balloon Text"/>
    <w:basedOn w:val="Normal"/>
    <w:link w:val="BalloonTextChar"/>
    <w:uiPriority w:val="99"/>
    <w:semiHidden/>
    <w:unhideWhenUsed/>
    <w:rsid w:val="005E34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4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E9C"/>
    <w:rsid w:val="00483AFE"/>
    <w:rsid w:val="006E3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7FD37043EE46CA994FD574454E507E">
    <w:name w:val="527FD37043EE46CA994FD574454E507E"/>
    <w:rsid w:val="006E3E9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7FD37043EE46CA994FD574454E507E">
    <w:name w:val="527FD37043EE46CA994FD574454E507E"/>
    <w:rsid w:val="006E3E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erin.o'brien</cp:lastModifiedBy>
  <cp:revision>6</cp:revision>
  <cp:lastPrinted>2011-02-15T15:12:00Z</cp:lastPrinted>
  <dcterms:created xsi:type="dcterms:W3CDTF">2011-02-08T13:53:00Z</dcterms:created>
  <dcterms:modified xsi:type="dcterms:W3CDTF">2011-02-15T15:24:00Z</dcterms:modified>
</cp:coreProperties>
</file>